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191896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552DE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552DE2">
        <w:rPr>
          <w:rFonts w:ascii="Traditional Arabic" w:hAnsi="Traditional Arabic" w:hint="cs"/>
          <w:b/>
          <w:bCs/>
          <w:sz w:val="32"/>
          <w:szCs w:val="32"/>
          <w:rtl/>
        </w:rPr>
        <w:t>23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552DE2">
        <w:rPr>
          <w:rFonts w:ascii="Traditional Arabic" w:hAnsi="Traditional Arabic" w:hint="cs"/>
          <w:b/>
          <w:bCs/>
          <w:sz w:val="32"/>
          <w:szCs w:val="32"/>
          <w:rtl/>
        </w:rPr>
        <w:t>5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proofErr w:type="spell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</w:t>
      </w:r>
      <w:proofErr w:type="spellEnd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proofErr w:type="spell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</w:t>
      </w:r>
      <w:proofErr w:type="spellEnd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سامي </w:t>
      </w:r>
      <w:r w:rsidR="00552DE2">
        <w:rPr>
          <w:rFonts w:ascii="Traditional Arabic" w:hAnsi="Traditional Arabic" w:hint="cs"/>
          <w:b/>
          <w:bCs/>
          <w:sz w:val="32"/>
          <w:szCs w:val="32"/>
          <w:rtl/>
        </w:rPr>
        <w:t>ال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مبارك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F0736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1D3B40" w:rsidRDefault="001D3B40" w:rsidP="00557CA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lastRenderedPageBreak/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F07361" w:rsidRDefault="00F07361" w:rsidP="00557CAC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557CAC" w:rsidP="00557C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تغيرات مناخية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ي206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557CAC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سفرات علمية 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D7CA2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23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80477B" w:rsidRPr="00FE2B72" w:rsidTr="00F0736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1918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557C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557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التغيرات الحاصلة في المناخ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ومصادره وتأثيراته وطرق التحكم به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F80574" w:rsidRPr="00FE2B72" w:rsidTr="00F07361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07361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19189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Pr="00557CAC" w:rsidRDefault="00DA3D52" w:rsidP="00191896">
            <w:pPr>
              <w:pStyle w:val="ListParagraph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6248A6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التعرف على مكونات</w:t>
            </w:r>
            <w:r w:rsidR="00557CAC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واهمية</w:t>
            </w:r>
            <w:r w:rsidR="006248A6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D7CA2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الغلاف الجوي</w:t>
            </w:r>
          </w:p>
          <w:p w:rsidR="006248A6" w:rsidRDefault="00557CAC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التعرف على عناصر الطقس والمناخ</w:t>
            </w:r>
          </w:p>
          <w:p w:rsidR="006248A6" w:rsidRPr="00557CAC" w:rsidRDefault="006248A6" w:rsidP="0019189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8D7CA2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557CAC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مسببات التغير المناخي</w:t>
            </w:r>
          </w:p>
          <w:p w:rsidR="006248A6" w:rsidRPr="00557CAC" w:rsidRDefault="006248A6" w:rsidP="00191896">
            <w:pPr>
              <w:pStyle w:val="ListParagraph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-التعرف على </w:t>
            </w:r>
            <w:r w:rsidR="008D7CA2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طرق معالجة والتحكم </w:t>
            </w:r>
            <w:proofErr w:type="spellStart"/>
            <w:r w:rsidR="00557CAC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باهم</w:t>
            </w:r>
            <w:proofErr w:type="spellEnd"/>
            <w:r w:rsidR="00557CAC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مسببات التغير المناخي</w:t>
            </w: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DA3D52" w:rsidP="00557CA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مهارات </w:t>
            </w:r>
            <w:r w:rsidR="00557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التحليل والاستنتاج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التقليل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</w:t>
            </w:r>
            <w:r w:rsidR="00557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مصادر 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تلوث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الهواء</w:t>
            </w:r>
            <w:r w:rsidR="00557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المسببة للتغير المناخي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07361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557C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النظرية.</w:t>
            </w:r>
          </w:p>
          <w:p w:rsidR="00F9643F" w:rsidRDefault="00DA3D52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والافلام العلمية)</w:t>
            </w:r>
          </w:p>
          <w:p w:rsidR="00F80574" w:rsidRPr="00FE2B72" w:rsidRDefault="00F80574" w:rsidP="00557C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07361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557C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557CAC" w:rsidRDefault="00557CAC" w:rsidP="00191896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الاعمال التطوعية</w:t>
            </w:r>
          </w:p>
        </w:tc>
      </w:tr>
      <w:tr w:rsidR="00F80574" w:rsidRPr="00FE2B72" w:rsidTr="00F07361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بعد رصد وجمع البيانات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235EC5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ربط المعلومات بالواقع</w:t>
            </w:r>
            <w:r w:rsidR="00557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الحياتي و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الصحي </w:t>
            </w:r>
            <w:proofErr w:type="spell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للانسان</w:t>
            </w:r>
            <w:proofErr w:type="spellEnd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والتأثير على الاحياء الاخرى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07361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العرض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التقديمي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07361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B1213F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القدرات </w:t>
            </w:r>
            <w:proofErr w:type="spellStart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المهارية</w:t>
            </w:r>
            <w:proofErr w:type="spellEnd"/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B1213F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557CAC" w:rsidRDefault="00F9643F" w:rsidP="00191896">
            <w:pPr>
              <w:pStyle w:val="ListParagraph"/>
              <w:numPr>
                <w:ilvl w:val="0"/>
                <w:numId w:val="8"/>
              </w:numPr>
              <w:tabs>
                <w:tab w:val="left" w:pos="1927"/>
              </w:tabs>
              <w:autoSpaceDE w:val="0"/>
              <w:autoSpaceDN w:val="0"/>
              <w:adjustRightInd w:val="0"/>
              <w:rPr>
                <w:rFonts w:cs="Times New Roman" w:hint="cs"/>
                <w:sz w:val="28"/>
                <w:szCs w:val="28"/>
                <w:rtl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اجراء البحوث والتقارير</w:t>
            </w:r>
          </w:p>
          <w:p w:rsidR="00557CAC" w:rsidRPr="00557CAC" w:rsidRDefault="00557CAC" w:rsidP="00191896">
            <w:pPr>
              <w:pStyle w:val="ListParagraph"/>
              <w:numPr>
                <w:ilvl w:val="0"/>
                <w:numId w:val="8"/>
              </w:numPr>
              <w:tabs>
                <w:tab w:val="left" w:pos="192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الطلبة على العمل التطوعي الفردي او الجماعي.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B1213F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B1213F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191896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191896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B121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B121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5D7D55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ثانية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5D7D55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ي206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5D7D55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تغيرات مناخية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6248A6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B1213F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مكونات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الغلاف الجوي</w:t>
            </w:r>
            <w:r w:rsidR="005D7D5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وعوامل المناخ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طرق انتقال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الملوثات</w:t>
            </w:r>
            <w:r w:rsidR="005D7D5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مصادرها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التحكم بملوثات الهواء</w:t>
            </w:r>
            <w:r w:rsidR="005D7D5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المسببة للتغير المناخي</w:t>
            </w:r>
          </w:p>
        </w:tc>
      </w:tr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B1213F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معدل </w:t>
            </w:r>
            <w:proofErr w:type="spellStart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لايقل</w:t>
            </w:r>
            <w:proofErr w:type="spellEnd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عن 77%</w:t>
            </w:r>
          </w:p>
        </w:tc>
      </w:tr>
      <w:tr w:rsidR="00AB6F01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B1213F">
        <w:trPr>
          <w:trHeight w:val="277"/>
        </w:trPr>
        <w:tc>
          <w:tcPr>
            <w:tcW w:w="9720" w:type="dxa"/>
            <w:shd w:val="clear" w:color="auto" w:fill="auto"/>
          </w:tcPr>
          <w:p w:rsidR="00AB6F01" w:rsidRPr="00AB6F01" w:rsidRDefault="00AB6F01" w:rsidP="00191896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Fundamental of Air pollution 4</w:t>
            </w:r>
            <w:r>
              <w:rPr>
                <w:rFonts w:ascii="Calibri" w:eastAsia="Calibri" w:hAnsi="Calibri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Edition  Author </w:t>
            </w:r>
            <w:r>
              <w:rPr>
                <w:rFonts w:ascii="Helvetica" w:hAnsi="Helvetica" w:cs="Helvetica"/>
                <w:color w:val="888B8D"/>
                <w:shd w:val="clear" w:color="auto" w:fill="FFFFFF"/>
              </w:rPr>
              <w:t xml:space="preserve">Daniel </w:t>
            </w:r>
            <w:proofErr w:type="spellStart"/>
            <w:r>
              <w:rPr>
                <w:rFonts w:ascii="Helvetica" w:hAnsi="Helvetica" w:cs="Helvetica"/>
                <w:color w:val="888B8D"/>
                <w:shd w:val="clear" w:color="auto" w:fill="FFFFFF"/>
              </w:rPr>
              <w:t>Vallero</w:t>
            </w:r>
            <w:proofErr w:type="spellEnd"/>
          </w:p>
          <w:p w:rsidR="00AB6F01" w:rsidRPr="00FE2B72" w:rsidRDefault="00AB6F01" w:rsidP="00191896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التلوث </w:t>
            </w:r>
            <w:proofErr w:type="spellStart"/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البيئى</w:t>
            </w:r>
            <w:proofErr w:type="spellEnd"/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تأليف عبدالهادي يحيى الصائغ و اروى </w:t>
            </w:r>
            <w:proofErr w:type="spellStart"/>
            <w:r>
              <w:rPr>
                <w:rFonts w:ascii="Calibri" w:eastAsia="Calibri" w:hAnsi="Calibri" w:hint="cs"/>
                <w:sz w:val="28"/>
                <w:szCs w:val="28"/>
                <w:rtl/>
              </w:rPr>
              <w:t>شاذل</w:t>
            </w:r>
            <w:proofErr w:type="spellEnd"/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طاقة   2002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B1213F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B1213F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B1213F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B1213F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5D7D5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5D7D5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5D7D55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206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5D7D5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تغيرات مناخية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B1213F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5D7D55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تغيرات مناخية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23/9/2015</w:t>
            </w:r>
          </w:p>
        </w:tc>
      </w:tr>
      <w:tr w:rsidR="006C302B" w:rsidRPr="00FE2B72" w:rsidTr="00B1213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B1213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A32491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قدرة الطالب على التعرف على التغيرات الحاصلة في المناخ ومصادره وتأثيراته وطرق التحكم به  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95299B" w:rsidRPr="00FE2B72" w:rsidTr="00B1213F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191896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B1213F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A32491" w:rsidRDefault="0095299B" w:rsidP="00191896">
                  <w:pPr>
                    <w:numPr>
                      <w:ilvl w:val="0"/>
                      <w:numId w:val="11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أ- </w:t>
                  </w:r>
                  <w:r w:rsidR="00A3249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A3249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الاهداف المعرفية  </w:t>
                  </w:r>
                </w:p>
                <w:p w:rsidR="00A32491" w:rsidRDefault="00A32491" w:rsidP="00191896">
                  <w:pPr>
                    <w:pStyle w:val="ListParagraph"/>
                    <w:numPr>
                      <w:ilvl w:val="0"/>
                      <w:numId w:val="12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Times New Roman"/>
                      <w:sz w:val="28"/>
                      <w:szCs w:val="28"/>
                      <w:rtl/>
                      <w:lang w:bidi="ar-IQ"/>
                    </w:rPr>
                    <w:t>-التعرف على مكونات واهمية الغلاف الجوي</w:t>
                  </w:r>
                </w:p>
                <w:p w:rsidR="00A32491" w:rsidRDefault="00A32491" w:rsidP="00A3249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التعرف على عناصر الطقس والمناخ</w:t>
                  </w:r>
                </w:p>
                <w:p w:rsidR="00A32491" w:rsidRDefault="00A32491" w:rsidP="00191896">
                  <w:pPr>
                    <w:pStyle w:val="ListParagraph"/>
                    <w:numPr>
                      <w:ilvl w:val="0"/>
                      <w:numId w:val="13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Times New Roman"/>
                      <w:sz w:val="28"/>
                      <w:szCs w:val="28"/>
                      <w:rtl/>
                      <w:lang w:bidi="ar-IQ"/>
                    </w:rPr>
                    <w:t>-التعرف على مسببات التغير المناخي</w:t>
                  </w:r>
                </w:p>
                <w:p w:rsidR="004243DA" w:rsidRPr="00C271DC" w:rsidRDefault="00A32491" w:rsidP="00A3249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4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-التعرف على طرق معالجة والتحكم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باهم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مسببات التغير المناخي.</w:t>
                  </w:r>
                </w:p>
              </w:tc>
            </w:tr>
            <w:tr w:rsidR="0095299B" w:rsidRPr="00FE2B72" w:rsidTr="00B1213F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A32491" w:rsidRDefault="0095299B" w:rsidP="00A3249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</w:t>
                  </w:r>
                  <w:r w:rsidR="00A3249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A3249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proofErr w:type="spellStart"/>
                  <w:r w:rsidR="00A3249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المهاراتية</w:t>
                  </w:r>
                  <w:proofErr w:type="spellEnd"/>
                  <w:r w:rsidR="00A3249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الخاصة بالبرنامج </w:t>
                  </w:r>
                </w:p>
                <w:p w:rsidR="00A32491" w:rsidRDefault="00A32491" w:rsidP="00A3249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1-       اكتساب مهارات التحليل والاستنتاج  . </w:t>
                  </w:r>
                </w:p>
                <w:p w:rsidR="0095299B" w:rsidRPr="002B612A" w:rsidRDefault="00A32491" w:rsidP="00A32491">
                  <w:pPr>
                    <w:tabs>
                      <w:tab w:val="left" w:pos="958"/>
                    </w:tabs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2- التقليل من مصادر تلوث الهواء المسببة للتغير المناخي.</w:t>
                  </w:r>
                  <w:r w:rsidR="002B612A"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</w:tr>
            <w:tr w:rsidR="0095299B" w:rsidRPr="00FE2B72" w:rsidTr="00B1213F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402688" w:rsidRDefault="00402688" w:rsidP="00402688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الفصلية والنهائية</w:t>
                  </w:r>
                </w:p>
                <w:p w:rsidR="0095299B" w:rsidRPr="00FE2B72" w:rsidRDefault="00402688" w:rsidP="00402688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Times New Roman"/>
                      <w:sz w:val="28"/>
                      <w:szCs w:val="28"/>
                      <w:rtl/>
                      <w:lang w:bidi="ar-IQ"/>
                    </w:rPr>
                    <w:t>الاعمال التطوعية</w:t>
                  </w:r>
                </w:p>
              </w:tc>
            </w:tr>
            <w:tr w:rsidR="0095299B" w:rsidRPr="00FE2B72" w:rsidTr="00B1213F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402688" w:rsidRDefault="00402688" w:rsidP="0040268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 ج1- القدرة على توصيل المعلومة بعد رصد وجمع البيانات .</w:t>
                  </w:r>
                </w:p>
                <w:p w:rsidR="00C271DC" w:rsidRPr="00336680" w:rsidRDefault="00402688" w:rsidP="0040268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      ج2- ربط المعلومات بالواقع الحياتي و الصحي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للانسان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والتأثير على الاحياء الاخرى.</w:t>
                  </w:r>
                </w:p>
              </w:tc>
            </w:tr>
            <w:tr w:rsidR="0095299B" w:rsidRPr="00FE2B72" w:rsidTr="00B1213F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402688" w:rsidRDefault="00402688" w:rsidP="00402688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95299B" w:rsidRPr="00FE2B72" w:rsidRDefault="00402688" w:rsidP="00402688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3- العرض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التقديمي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B1213F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B1213F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B1213F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402688" w:rsidRDefault="00402688" w:rsidP="00402688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د1-تنمية القدرات الذهنية للطالب</w:t>
                  </w:r>
                </w:p>
                <w:p w:rsidR="00402688" w:rsidRDefault="00402688" w:rsidP="00402688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د2-تنمية القدرات </w:t>
                  </w:r>
                  <w:proofErr w:type="spellStart"/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المهارية</w:t>
                  </w:r>
                  <w:proofErr w:type="spellEnd"/>
                </w:p>
                <w:p w:rsidR="00E32CD1" w:rsidRPr="00FE2B72" w:rsidRDefault="00E32CD1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402688" w:rsidRDefault="00402688" w:rsidP="00FE2B72">
      <w:pPr>
        <w:shd w:val="clear" w:color="auto" w:fill="FFFFFF"/>
        <w:rPr>
          <w:b/>
          <w:bCs/>
          <w:color w:val="17365D" w:themeColor="text2" w:themeShade="BF"/>
          <w:sz w:val="32"/>
          <w:szCs w:val="32"/>
        </w:rPr>
      </w:pPr>
    </w:p>
    <w:p w:rsidR="00402688" w:rsidRDefault="00402688" w:rsidP="00FE2B72">
      <w:pPr>
        <w:shd w:val="clear" w:color="auto" w:fill="FFFFFF"/>
        <w:rPr>
          <w:b/>
          <w:bCs/>
          <w:color w:val="17365D" w:themeColor="text2" w:themeShade="BF"/>
          <w:sz w:val="32"/>
          <w:szCs w:val="32"/>
        </w:rPr>
      </w:pPr>
    </w:p>
    <w:p w:rsidR="009F5071" w:rsidRPr="00B1213F" w:rsidRDefault="009F5071" w:rsidP="00FE2B72">
      <w:pPr>
        <w:shd w:val="clear" w:color="auto" w:fill="FFFFFF"/>
        <w:rPr>
          <w:b/>
          <w:bCs/>
          <w:color w:val="17365D" w:themeColor="text2" w:themeShade="BF"/>
          <w:sz w:val="32"/>
          <w:szCs w:val="32"/>
          <w:rtl/>
        </w:rPr>
      </w:pPr>
      <w:bookmarkStart w:id="0" w:name="_GoBack"/>
      <w:bookmarkEnd w:id="0"/>
      <w:r w:rsidRPr="00B1213F">
        <w:rPr>
          <w:rFonts w:hint="cs"/>
          <w:b/>
          <w:bCs/>
          <w:color w:val="17365D" w:themeColor="text2" w:themeShade="BF"/>
          <w:sz w:val="32"/>
          <w:szCs w:val="32"/>
          <w:rtl/>
        </w:rPr>
        <w:lastRenderedPageBreak/>
        <w:t>بنية المقرر</w:t>
      </w:r>
    </w:p>
    <w:tbl>
      <w:tblPr>
        <w:bidiVisual/>
        <w:tblW w:w="8960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1E0" w:firstRow="1" w:lastRow="1" w:firstColumn="1" w:lastColumn="1" w:noHBand="0" w:noVBand="0"/>
      </w:tblPr>
      <w:tblGrid>
        <w:gridCol w:w="1172"/>
        <w:gridCol w:w="1086"/>
        <w:gridCol w:w="1484"/>
        <w:gridCol w:w="2431"/>
        <w:gridCol w:w="925"/>
        <w:gridCol w:w="1862"/>
      </w:tblGrid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8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431" w:type="dxa"/>
          </w:tcPr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الوحدة</w:t>
            </w:r>
          </w:p>
        </w:tc>
        <w:tc>
          <w:tcPr>
            <w:tcW w:w="92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5D7D55" w:rsidRPr="005D7D55" w:rsidRDefault="005D7D55" w:rsidP="005D7D55">
            <w:pPr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-</w:t>
            </w:r>
            <w:r w:rsidRPr="005D7D5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Introduction :Climate and climate change</w:t>
            </w:r>
            <w:r w:rsidRPr="005D7D55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  <w:p w:rsidR="005D7D55" w:rsidRPr="005D7D55" w:rsidRDefault="005D7D55" w:rsidP="005D7D55">
            <w:pPr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-</w:t>
            </w:r>
            <w:r w:rsidRPr="005D7D5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Role of the sun on climate</w:t>
            </w:r>
            <w:r w:rsidRPr="005D7D55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  <w:p w:rsidR="005D7D55" w:rsidRDefault="005D7D55" w:rsidP="005D7D55">
            <w:pPr>
              <w:shd w:val="clear" w:color="auto" w:fill="FFFFFF"/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-</w:t>
            </w:r>
            <w:r w:rsidRPr="005D7D5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Paleoclimatology ,Past climates and classification schemes</w:t>
            </w:r>
          </w:p>
          <w:p w:rsidR="00F07361" w:rsidRPr="005D7D55" w:rsidRDefault="005D7D55" w:rsidP="005D7D55">
            <w:pPr>
              <w:shd w:val="clear" w:color="auto" w:fill="FFFFFF"/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- </w:t>
            </w:r>
            <w:r>
              <w:rPr>
                <w:b/>
                <w:bCs/>
                <w:sz w:val="24"/>
                <w:szCs w:val="24"/>
                <w:lang w:bidi="ar-IQ"/>
              </w:rPr>
              <w:t>Climate Regulators and Feedback Loop</w:t>
            </w:r>
            <w:r w:rsidRPr="005D7D5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 </w:t>
            </w:r>
          </w:p>
          <w:p w:rsidR="00F0736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9F5071" w:rsidRPr="009F5071" w:rsidRDefault="009F5071" w:rsidP="005D7D55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5D7D55" w:rsidRPr="005D7D55" w:rsidRDefault="005D7D55" w:rsidP="005D7D55">
            <w:pPr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5D7D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Observation of climate change</w:t>
            </w:r>
            <w:r w:rsidRPr="005D7D5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9F5071" w:rsidRPr="00F07361" w:rsidRDefault="005D7D55" w:rsidP="005D7D55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5D7D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EXAM 1</w:t>
            </w:r>
          </w:p>
        </w:tc>
        <w:tc>
          <w:tcPr>
            <w:tcW w:w="925" w:type="dxa"/>
          </w:tcPr>
          <w:p w:rsidR="009F5071" w:rsidRPr="009F5071" w:rsidRDefault="009F5071" w:rsidP="005D7D55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641F48" w:rsidRPr="00641F48" w:rsidRDefault="00F07361" w:rsidP="00641F4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641F48"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Impacts of climate change</w:t>
            </w:r>
            <w:r w:rsidR="00641F48" w:rsidRPr="00641F4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F07361" w:rsidRPr="00F07361" w:rsidRDefault="00641F48" w:rsidP="00641F48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Climate change and extreme weather events</w:t>
            </w:r>
          </w:p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925" w:type="dxa"/>
          </w:tcPr>
          <w:p w:rsidR="009F5071" w:rsidRPr="009F5071" w:rsidRDefault="009F5071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A01520">
        <w:trPr>
          <w:trHeight w:val="1067"/>
        </w:trPr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641F48" w:rsidRPr="00641F48" w:rsidRDefault="00F07361" w:rsidP="00641F4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641F48"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Climate modeling and future scenarios</w:t>
            </w:r>
          </w:p>
          <w:p w:rsidR="00F07361" w:rsidRPr="00F07361" w:rsidRDefault="00641F48" w:rsidP="00641F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Vulnerability and Adaptation</w:t>
            </w:r>
          </w:p>
        </w:tc>
        <w:tc>
          <w:tcPr>
            <w:tcW w:w="925" w:type="dxa"/>
          </w:tcPr>
          <w:p w:rsidR="00F07361" w:rsidRPr="009F5071" w:rsidRDefault="00F07361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A01520"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641F48" w:rsidRPr="00641F48" w:rsidRDefault="00F07361" w:rsidP="00641F4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641F48"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Mitigating climate change</w:t>
            </w:r>
            <w:r w:rsidR="00641F48" w:rsidRPr="00641F4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F07361" w:rsidRPr="00F07361" w:rsidRDefault="00641F48" w:rsidP="00641F4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- </w:t>
            </w:r>
            <w:proofErr w:type="spellStart"/>
            <w:r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Panels,protocols</w:t>
            </w:r>
            <w:proofErr w:type="spellEnd"/>
            <w:r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and the 5</w:t>
            </w:r>
            <w:r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IQ"/>
              </w:rPr>
              <w:t>th</w:t>
            </w:r>
            <w:r w:rsidRPr="00641F4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IPCC Report</w:t>
            </w:r>
          </w:p>
        </w:tc>
        <w:tc>
          <w:tcPr>
            <w:tcW w:w="925" w:type="dxa"/>
          </w:tcPr>
          <w:p w:rsidR="00F07361" w:rsidRPr="009F5071" w:rsidRDefault="00F07361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641F48" w:rsidRPr="009F5071" w:rsidTr="00A01520">
        <w:tc>
          <w:tcPr>
            <w:tcW w:w="1172" w:type="dxa"/>
          </w:tcPr>
          <w:p w:rsidR="00641F48" w:rsidRPr="009F5071" w:rsidRDefault="00641F4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86" w:type="dxa"/>
          </w:tcPr>
          <w:p w:rsidR="00641F48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641F48" w:rsidRDefault="00641F48" w:rsidP="00641F48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-The National climate Assessment </w:t>
            </w:r>
          </w:p>
        </w:tc>
        <w:tc>
          <w:tcPr>
            <w:tcW w:w="925" w:type="dxa"/>
          </w:tcPr>
          <w:p w:rsidR="00641F48" w:rsidRPr="009F5071" w:rsidRDefault="00641F48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641F48" w:rsidRPr="009F5071" w:rsidTr="00A01520">
        <w:tc>
          <w:tcPr>
            <w:tcW w:w="1172" w:type="dxa"/>
          </w:tcPr>
          <w:p w:rsidR="00641F48" w:rsidRPr="009F5071" w:rsidRDefault="00641F4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641F48" w:rsidRPr="009F5071" w:rsidRDefault="00641F4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641F48" w:rsidRPr="009F5071" w:rsidRDefault="00641F4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86" w:type="dxa"/>
          </w:tcPr>
          <w:p w:rsidR="00641F48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A01520" w:rsidRPr="00A01520" w:rsidRDefault="00641F48" w:rsidP="00A0152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="00A01520" w:rsidRPr="00A0152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Regional Impact and Responses</w:t>
            </w:r>
          </w:p>
          <w:p w:rsidR="00A01520" w:rsidRDefault="00A01520" w:rsidP="00A0152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A0152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EXAM 2</w:t>
            </w:r>
          </w:p>
          <w:p w:rsidR="00641F48" w:rsidRPr="00F07361" w:rsidRDefault="00A01520" w:rsidP="00A01520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 General review</w:t>
            </w:r>
          </w:p>
        </w:tc>
        <w:tc>
          <w:tcPr>
            <w:tcW w:w="925" w:type="dxa"/>
          </w:tcPr>
          <w:p w:rsidR="00641F48" w:rsidRPr="009F5071" w:rsidRDefault="00641F48" w:rsidP="00A01520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641F48" w:rsidRPr="009F5071" w:rsidRDefault="00641F48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B1213F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B1213F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B1213F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E53C66" w:rsidRDefault="00E53C66" w:rsidP="00191896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Fundamental of Air pollution 4</w:t>
            </w:r>
            <w:r w:rsidRPr="00414E96">
              <w:rPr>
                <w:rFonts w:ascii="Calibri" w:eastAsia="Calibri" w:hAnsi="Calibri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Edition  Author </w:t>
            </w:r>
            <w:r>
              <w:rPr>
                <w:rFonts w:ascii="Helvetica" w:hAnsi="Helvetica" w:cs="Helvetica"/>
                <w:color w:val="888B8D"/>
                <w:shd w:val="clear" w:color="auto" w:fill="FFFFFF"/>
              </w:rPr>
              <w:t xml:space="preserve">Daniel </w:t>
            </w:r>
            <w:proofErr w:type="spellStart"/>
            <w:r>
              <w:rPr>
                <w:rFonts w:ascii="Helvetica" w:hAnsi="Helvetica" w:cs="Helvetica"/>
                <w:color w:val="888B8D"/>
                <w:shd w:val="clear" w:color="auto" w:fill="FFFFFF"/>
              </w:rPr>
              <w:t>Vallero</w:t>
            </w:r>
            <w:proofErr w:type="spellEnd"/>
          </w:p>
          <w:p w:rsidR="00C65ABC" w:rsidRPr="00E53C66" w:rsidRDefault="00C65ABC" w:rsidP="007966E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37067E" w:rsidRDefault="00E53C66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التلوث </w:t>
            </w:r>
            <w:proofErr w:type="spellStart"/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البيئى</w:t>
            </w:r>
            <w:proofErr w:type="spellEnd"/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تأليف عبدالهادي يحيى الصائغ و اروى </w:t>
            </w:r>
            <w:proofErr w:type="spellStart"/>
            <w:r>
              <w:rPr>
                <w:rFonts w:ascii="Calibri" w:eastAsia="Calibri" w:hAnsi="Calibri" w:hint="cs"/>
                <w:sz w:val="28"/>
                <w:szCs w:val="28"/>
                <w:rtl/>
              </w:rPr>
              <w:t>شاذل</w:t>
            </w:r>
            <w:proofErr w:type="spellEnd"/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طاقة   2002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E53C6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www.epa.gov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B1213F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19189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B1213F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96" w:rsidRDefault="00191896">
      <w:r>
        <w:separator/>
      </w:r>
    </w:p>
  </w:endnote>
  <w:endnote w:type="continuationSeparator" w:id="0">
    <w:p w:rsidR="00191896" w:rsidRDefault="0019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8D58DB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8D58DB" w:rsidRPr="00807DE1">
            <w:rPr>
              <w:rFonts w:cs="Arial"/>
            </w:rPr>
            <w:fldChar w:fldCharType="separate"/>
          </w:r>
          <w:r w:rsidR="00402688" w:rsidRPr="00402688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="008D58DB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96" w:rsidRDefault="00191896">
      <w:r>
        <w:separator/>
      </w:r>
    </w:p>
  </w:footnote>
  <w:footnote w:type="continuationSeparator" w:id="0">
    <w:p w:rsidR="00191896" w:rsidRDefault="0019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30F"/>
    <w:multiLevelType w:val="hybridMultilevel"/>
    <w:tmpl w:val="83C0DAA8"/>
    <w:lvl w:ilvl="0" w:tplc="0E88FAE4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8462F"/>
    <w:multiLevelType w:val="hybridMultilevel"/>
    <w:tmpl w:val="E8161F3C"/>
    <w:lvl w:ilvl="0" w:tplc="AA60D66E">
      <w:start w:val="3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6CBB20B6"/>
    <w:multiLevelType w:val="hybridMultilevel"/>
    <w:tmpl w:val="EE526326"/>
    <w:lvl w:ilvl="0" w:tplc="8BC8E73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45418"/>
    <w:rsid w:val="00046DBB"/>
    <w:rsid w:val="00063AD7"/>
    <w:rsid w:val="00065187"/>
    <w:rsid w:val="00070BE9"/>
    <w:rsid w:val="0008002F"/>
    <w:rsid w:val="00090A55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82552"/>
    <w:rsid w:val="001916A2"/>
    <w:rsid w:val="00191896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97E64"/>
    <w:rsid w:val="002A1AF6"/>
    <w:rsid w:val="002B28B2"/>
    <w:rsid w:val="002B612A"/>
    <w:rsid w:val="002C3F0D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31AA"/>
    <w:rsid w:val="003555F3"/>
    <w:rsid w:val="00360870"/>
    <w:rsid w:val="00363DAB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2688"/>
    <w:rsid w:val="00406DC6"/>
    <w:rsid w:val="004137E5"/>
    <w:rsid w:val="00414E96"/>
    <w:rsid w:val="004243DA"/>
    <w:rsid w:val="004361D7"/>
    <w:rsid w:val="0045325B"/>
    <w:rsid w:val="004662C5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2DE2"/>
    <w:rsid w:val="00557CAC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D7D55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41F48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477B"/>
    <w:rsid w:val="00807DE1"/>
    <w:rsid w:val="008467A5"/>
    <w:rsid w:val="00867A6A"/>
    <w:rsid w:val="00867FFC"/>
    <w:rsid w:val="008736F4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58DB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5071"/>
    <w:rsid w:val="009F7BAF"/>
    <w:rsid w:val="00A01520"/>
    <w:rsid w:val="00A07775"/>
    <w:rsid w:val="00A11A57"/>
    <w:rsid w:val="00A12DBC"/>
    <w:rsid w:val="00A15242"/>
    <w:rsid w:val="00A2126F"/>
    <w:rsid w:val="00A30E4D"/>
    <w:rsid w:val="00A32491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1213F"/>
    <w:rsid w:val="00B15F45"/>
    <w:rsid w:val="00B17E3D"/>
    <w:rsid w:val="00B32265"/>
    <w:rsid w:val="00B36757"/>
    <w:rsid w:val="00B412FE"/>
    <w:rsid w:val="00B5102D"/>
    <w:rsid w:val="00B521B7"/>
    <w:rsid w:val="00B727AD"/>
    <w:rsid w:val="00BC76C0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F24E6"/>
    <w:rsid w:val="00F07361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92E5-E1BE-4B3B-B417-DFD41A7B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 - ANAS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8</cp:revision>
  <cp:lastPrinted>2017-01-25T04:06:00Z</cp:lastPrinted>
  <dcterms:created xsi:type="dcterms:W3CDTF">2018-08-25T08:44:00Z</dcterms:created>
  <dcterms:modified xsi:type="dcterms:W3CDTF">2018-08-25T09:19:00Z</dcterms:modified>
</cp:coreProperties>
</file>