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BE58DF" w:rsidP="009A07B9">
      <w:pPr>
        <w:ind w:hanging="766"/>
        <w:rPr>
          <w:rtl/>
          <w:lang w:bidi="ar-IQ"/>
        </w:rPr>
      </w:pPr>
      <w:r w:rsidRPr="00BE58DF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9A07B9" w:rsidRDefault="00182552" w:rsidP="00F2360B">
      <w:pPr>
        <w:ind w:hanging="766"/>
        <w:rPr>
          <w:rFonts w:ascii="Traditional Arabic" w:hAnsi="Traditional Arabic"/>
          <w:b/>
          <w:bCs/>
          <w:sz w:val="32"/>
          <w:szCs w:val="32"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10/</w:t>
      </w:r>
      <w:r w:rsidR="00F2360B">
        <w:rPr>
          <w:rFonts w:ascii="Traditional Arabic" w:hAnsi="Traditional Arabic"/>
          <w:b/>
          <w:bCs/>
          <w:sz w:val="32"/>
          <w:szCs w:val="32"/>
        </w:rPr>
        <w:t>12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F2360B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E65CFB" w:rsidRPr="00E65CFB" w:rsidRDefault="00E65CFB" w:rsidP="00E65CFB">
      <w:pPr>
        <w:ind w:hanging="766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  الاسم: ا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م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د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اسيا فاضل عبدالله</w:t>
      </w:r>
    </w:p>
    <w:p w:rsidR="00E65CFB" w:rsidRDefault="00E65CFB" w:rsidP="00E65CFB">
      <w:pPr>
        <w:ind w:hanging="766"/>
        <w:rPr>
          <w:rFonts w:ascii="Traditional Arabic" w:hAnsi="Traditional Arabic"/>
          <w:b/>
          <w:bCs/>
          <w:sz w:val="32"/>
          <w:szCs w:val="32"/>
        </w:rPr>
      </w:pPr>
    </w:p>
    <w:p w:rsidR="00E65CFB" w:rsidRPr="00DD27C0" w:rsidRDefault="00E65CFB" w:rsidP="00E65CFB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lastRenderedPageBreak/>
        <w:t xml:space="preserve">مصادقة السيد العميد </w:t>
      </w: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99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451"/>
      </w:tblGrid>
      <w:tr w:rsidR="00F80574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BB671E" w:rsidP="00BB67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كوارث بيئية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</w:rPr>
              <w:t>E3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4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</w:rPr>
              <w:t>0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F2360B" w:rsidP="00A11FFC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10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="00A11FF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A11FF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024A3C">
        <w:trPr>
          <w:trHeight w:val="725"/>
        </w:trPr>
        <w:tc>
          <w:tcPr>
            <w:tcW w:w="9995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BB671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BB671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الكو</w:t>
            </w:r>
            <w:r w:rsidR="00BB671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ارث البيئية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ومصادره</w:t>
            </w:r>
            <w:r w:rsidR="00BB671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وتأثيراته وطرق ا</w:t>
            </w:r>
            <w:r w:rsidR="00BB671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لمكافحة المبكرة لوقوع الكارثة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024A3C">
        <w:trPr>
          <w:trHeight w:val="653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024A3C">
        <w:trPr>
          <w:trHeight w:val="1177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024A3C" w:rsidRDefault="00DA3D52" w:rsidP="00024A3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024A3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الكو</w:t>
            </w:r>
            <w:r w:rsidR="00024A3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ارث البيئية واسباب وقوعها</w:t>
            </w:r>
          </w:p>
          <w:p w:rsidR="00DA3D52" w:rsidRDefault="006248A6" w:rsidP="00024A3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أ2-اهمية </w:t>
            </w:r>
            <w:r w:rsidR="00024A3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الكشف عن الكارثة سواء طبيعية او بشرية</w:t>
            </w:r>
          </w:p>
          <w:p w:rsidR="006248A6" w:rsidRDefault="006248A6" w:rsidP="00024A3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التأثيرات الصحية </w:t>
            </w:r>
            <w:r w:rsidR="00024A3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للكو</w:t>
            </w:r>
            <w:r w:rsidR="00024A3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ارث البيئية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024A3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المصادر </w:t>
            </w:r>
            <w:r w:rsidR="00024A3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السببة للكوارث</w:t>
            </w:r>
          </w:p>
          <w:p w:rsidR="006248A6" w:rsidRPr="00FE2B72" w:rsidRDefault="006248A6" w:rsidP="00861C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طرق معالجة </w:t>
            </w:r>
            <w:r w:rsidR="00861C9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الكارثة واغاثة المنكوبين واعادة تاهيل المجتمع بعد الكارثة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024A3C">
        <w:trPr>
          <w:trHeight w:val="1123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DA3D52" w:rsidP="00861C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</w:t>
            </w:r>
            <w:r w:rsidR="00861C9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للتفاعل مع الكارثة وتاهيل اشخاص يعمل على اعادة تاهيل المجتمع بعد الكوارث معنويا وماديا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861C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أ2- </w:t>
            </w:r>
            <w:r w:rsidR="00861C9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البحث في الكشف المبكر لوقوع الكارثة وادارتها قبل وقوعها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024A3C">
        <w:trPr>
          <w:trHeight w:val="423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F80574" w:rsidRPr="00FE2B72" w:rsidTr="00024A3C">
        <w:trPr>
          <w:trHeight w:val="1690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  <w:r w:rsidR="00946CE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(في ممارسات كيفية اغاثة الاشخاص المصابين ودورات السلامة الامنية</w:t>
            </w:r>
            <w:r w:rsidR="007C406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لاطفاء الحرائق وماشابه ذلك)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024A3C">
        <w:trPr>
          <w:trHeight w:val="400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024A3C">
        <w:trPr>
          <w:trHeight w:val="624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  <w:r w:rsidR="007C406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بالاضافة الى اعداد الطلاب الى العرض التقديمي </w:t>
            </w:r>
            <w:r w:rsidR="007C406E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024A3C">
        <w:trPr>
          <w:trHeight w:val="1290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DA3D52" w:rsidP="007C40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المعلومات بالواقع </w:t>
            </w:r>
            <w:r w:rsidR="007C406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او المجتمع التي تحدث فيه الكارثة وكيفية تفاعل المجتمع في الاستجابة لهذه الكوارث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024A3C">
        <w:trPr>
          <w:trHeight w:val="471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024A3C">
        <w:trPr>
          <w:trHeight w:val="1187"/>
        </w:trPr>
        <w:tc>
          <w:tcPr>
            <w:tcW w:w="9995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4137E5" w:rsidRDefault="004137E5" w:rsidP="000A448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الاجهزة</w:t>
            </w:r>
            <w:r w:rsidR="000A44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او الادوات الخاصة في عملية السلامة الامنية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024A3C">
        <w:trPr>
          <w:trHeight w:val="425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024A3C">
        <w:trPr>
          <w:trHeight w:val="624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0A448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التعامل مع </w:t>
            </w:r>
            <w:r w:rsidR="000A44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جهزة </w:t>
            </w:r>
            <w:r w:rsidR="000A44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والادوات المتوفرة في السلامة الامنية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360870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0A448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0A448E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340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0A448E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كوارث بيئية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AC62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r w:rsidR="00AC624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انواع الكوارث والكشف عنها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AC62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طرق </w:t>
            </w:r>
            <w:r w:rsidR="00AC624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ادارة الملوثات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AC62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AC624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اغاثة المجتمع والاشخاص المنكوبين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961B7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961B7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AC6241" w:rsidRPr="00B84605" w:rsidRDefault="00AC6241" w:rsidP="00AC6241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B84605">
              <w:rPr>
                <w:rFonts w:ascii="Calibri" w:eastAsia="Calibri" w:hAnsi="Calibri" w:hint="cs"/>
                <w:sz w:val="28"/>
                <w:szCs w:val="28"/>
                <w:rtl/>
              </w:rPr>
              <w:t>الظواهر الطبيعية نحو بناء ثقافة الوقاية من كوارثها في البلدان العربية</w:t>
            </w:r>
            <w:r w:rsidRPr="00B84605">
              <w:rPr>
                <w:rFonts w:ascii="Calibri" w:eastAsia="Calibri" w:hAnsi="Calibri"/>
                <w:sz w:val="28"/>
                <w:szCs w:val="28"/>
              </w:rPr>
              <w:t>,</w:t>
            </w:r>
            <w:r w:rsidRPr="00B84605">
              <w:rPr>
                <w:rFonts w:ascii="Arial-BoldMT" w:cs="Arial-BoldMT" w:hint="cs"/>
                <w:b/>
                <w:bCs/>
                <w:sz w:val="28"/>
                <w:szCs w:val="28"/>
                <w:rtl/>
              </w:rPr>
              <w:t xml:space="preserve"> د</w:t>
            </w:r>
            <w:r w:rsidRPr="00B84605">
              <w:rPr>
                <w:rFonts w:ascii="Arial-BoldMT" w:cs="Arial-BoldMT"/>
                <w:b/>
                <w:bCs/>
                <w:sz w:val="28"/>
                <w:szCs w:val="28"/>
              </w:rPr>
              <w:t xml:space="preserve">/ </w:t>
            </w:r>
            <w:r w:rsidRPr="00B84605">
              <w:rPr>
                <w:rFonts w:ascii="Arial-BoldMT" w:cs="Arial-BoldMT" w:hint="cs"/>
                <w:b/>
                <w:bCs/>
                <w:sz w:val="28"/>
                <w:szCs w:val="28"/>
                <w:rtl/>
              </w:rPr>
              <w:t>بدويرهبان</w:t>
            </w:r>
            <w:r w:rsidRPr="00B84605">
              <w:rPr>
                <w:rFonts w:ascii="Arial-BoldMT" w:cs="Arial-BoldMT"/>
                <w:b/>
                <w:bCs/>
                <w:sz w:val="28"/>
                <w:szCs w:val="28"/>
              </w:rPr>
              <w:t>,</w:t>
            </w:r>
            <w:r w:rsidRPr="00B84605">
              <w:rPr>
                <w:rFonts w:ascii="Arial-BoldMT" w:cs="Arial-BoldMT" w:hint="cs"/>
                <w:b/>
                <w:bCs/>
                <w:sz w:val="28"/>
                <w:szCs w:val="28"/>
                <w:rtl/>
              </w:rPr>
              <w:t xml:space="preserve"> د</w:t>
            </w:r>
            <w:r w:rsidRPr="00B84605">
              <w:rPr>
                <w:rFonts w:ascii="Arial-BoldMT" w:cs="Arial-BoldMT"/>
                <w:b/>
                <w:bCs/>
                <w:sz w:val="28"/>
                <w:szCs w:val="28"/>
              </w:rPr>
              <w:t xml:space="preserve">/ </w:t>
            </w:r>
            <w:r w:rsidRPr="00B84605">
              <w:rPr>
                <w:rFonts w:ascii="Arial-BoldMT" w:cs="Arial-BoldMT" w:hint="cs"/>
                <w:b/>
                <w:bCs/>
                <w:sz w:val="28"/>
                <w:szCs w:val="28"/>
                <w:rtl/>
              </w:rPr>
              <w:t>محمداحمدحزام</w:t>
            </w:r>
          </w:p>
          <w:p w:rsidR="00AC6241" w:rsidRPr="00B84605" w:rsidRDefault="00AC6241" w:rsidP="00AC6241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B84605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>الخطة الوطنية لمواجهة الكوارث البيئية</w:t>
            </w:r>
            <w:r w:rsidRPr="00B84605">
              <w:rPr>
                <w:rFonts w:ascii="Calibri" w:eastAsia="Calibri" w:hAnsi="Calibri"/>
                <w:sz w:val="28"/>
                <w:szCs w:val="28"/>
                <w:lang w:bidi="ar-IQ"/>
              </w:rPr>
              <w:t>, 2006</w:t>
            </w:r>
          </w:p>
          <w:p w:rsidR="00AB6F01" w:rsidRPr="00FE2B72" w:rsidRDefault="00AB6F01" w:rsidP="00B8460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B846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B84605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0</w:t>
            </w:r>
            <w:r w:rsidR="00B84605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4</w:t>
            </w:r>
            <w:r w:rsidR="00B84605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B8460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كوارث بيئية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B8460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137E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961B7F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961B7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95E4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معالجة المخلفات واعادة تدويرها </w:t>
            </w:r>
            <w:r w:rsidR="00264F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E401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F2360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F236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F236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F2360B" w:rsidP="00F2360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6C302B" w:rsidRPr="00FE2B72" w:rsidTr="00961B7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961B7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C95E4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C95E4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كيفية ادارة الملوثات الصلبة واعادة تدويرها في البيئة لتقليل اثارها واضراها على المجتمع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وطرق التحكم به</w:t>
            </w:r>
            <w:r w:rsidR="00C95E4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-304"/>
        <w:tblOverlap w:val="never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264F38" w:rsidRPr="00FE2B72" w:rsidTr="00264F38">
        <w:trPr>
          <w:trHeight w:val="653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264F38" w:rsidRPr="00FE2B72" w:rsidTr="00264F38">
        <w:trPr>
          <w:trHeight w:val="1163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1-التعرف على انواع الملوثات الصلبة والسائلة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2-التعرف على التأثيرات الصحية للملوثات.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4-التعرف على المصادر المسببة لها</w:t>
            </w:r>
          </w:p>
          <w:p w:rsidR="00264F38" w:rsidRPr="00C271DC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5-التعرف على طرق معالجة والتحكم بها من خلال معرفة طرق اعادة تدويرها.</w:t>
            </w:r>
          </w:p>
        </w:tc>
      </w:tr>
      <w:tr w:rsidR="00264F38" w:rsidRPr="00FE2B72" w:rsidTr="00264F38">
        <w:trPr>
          <w:trHeight w:val="124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العملية لتقليل الملوثات من خلال ادارتها  وكيفية التخلص منها.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التقليل من تلوث بالمواد الصلبة والنفايات.</w:t>
            </w:r>
          </w:p>
          <w:p w:rsidR="00264F38" w:rsidRPr="002B612A" w:rsidRDefault="00264F38" w:rsidP="00264F38">
            <w:pPr>
              <w:tabs>
                <w:tab w:val="left" w:pos="958"/>
              </w:tabs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ab/>
            </w:r>
          </w:p>
        </w:tc>
      </w:tr>
      <w:tr w:rsidR="00264F38" w:rsidRPr="00FE2B72" w:rsidTr="00264F38">
        <w:trPr>
          <w:trHeight w:val="423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264F38" w:rsidRPr="00FE2B72" w:rsidTr="00264F38">
        <w:trPr>
          <w:trHeight w:val="62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-المحاضرات النظرية والعملية.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استخدام الوسائل التعليمية ( العروض التقديمية والافلام العلمية)</w:t>
            </w:r>
          </w:p>
          <w:p w:rsidR="00264F38" w:rsidRPr="001C7A31" w:rsidRDefault="00264F38" w:rsidP="00264F38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التطبيق العملي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264F38">
        <w:trPr>
          <w:trHeight w:val="400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264F38" w:rsidRPr="00FE2B72" w:rsidTr="00264F38">
        <w:trPr>
          <w:trHeight w:val="62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النظرية والعملية الفصلية والنهائية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264F38">
        <w:trPr>
          <w:trHeight w:val="1290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- القدرة على توصيل المعلومة بعد رصد وجمع البيانات .</w:t>
            </w:r>
          </w:p>
          <w:p w:rsidR="00264F38" w:rsidRPr="00336680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- ربط المعلومات بالواقع الصحي للانسان والتأثير على الاحياء الاخرى.</w:t>
            </w:r>
          </w:p>
        </w:tc>
      </w:tr>
      <w:tr w:rsidR="00264F38" w:rsidRPr="00FE2B72" w:rsidTr="00264F38">
        <w:trPr>
          <w:trHeight w:val="471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264F38" w:rsidRPr="00FE2B72" w:rsidTr="00264F38">
        <w:trPr>
          <w:trHeight w:val="624"/>
        </w:trPr>
        <w:tc>
          <w:tcPr>
            <w:tcW w:w="9720" w:type="dxa"/>
            <w:shd w:val="clear" w:color="auto" w:fill="auto"/>
          </w:tcPr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-الشرح والالقاء المباشر.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استخدام الاجهزة في قياس تراكيز ملوثات الهواء.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التقديمي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 والشاشة.</w:t>
            </w:r>
          </w:p>
        </w:tc>
      </w:tr>
      <w:tr w:rsidR="00264F38" w:rsidRPr="00FE2B72" w:rsidTr="00264F38">
        <w:trPr>
          <w:trHeight w:val="425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264F38" w:rsidRPr="00FE2B72" w:rsidTr="00264F38">
        <w:trPr>
          <w:trHeight w:val="645"/>
        </w:trPr>
        <w:tc>
          <w:tcPr>
            <w:tcW w:w="9720" w:type="dxa"/>
            <w:shd w:val="clear" w:color="auto" w:fill="auto"/>
          </w:tcPr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 اليومي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-الاختبارات الشهرية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اعادة تدوير بعض النفايات التي لها القابلية على اعادة استخدامها كالبلاستك والزجاج</w:t>
            </w:r>
          </w:p>
        </w:tc>
      </w:tr>
      <w:tr w:rsidR="00264F38" w:rsidRPr="00FE2B72" w:rsidTr="00264F38">
        <w:trPr>
          <w:trHeight w:val="126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64F38" w:rsidRPr="009E53B0" w:rsidRDefault="00264F38" w:rsidP="00264F3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264F38" w:rsidRPr="009E53B0" w:rsidRDefault="00264F38" w:rsidP="00264F3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264F38" w:rsidRPr="00FE2B72" w:rsidRDefault="00264F38" w:rsidP="00264F3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التعامل مع اجهزة القياس البيئية الحقلية والمختبرية.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9322" w:type="dxa"/>
        <w:tblInd w:w="-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32"/>
        <w:gridCol w:w="1003"/>
        <w:gridCol w:w="1715"/>
        <w:gridCol w:w="2396"/>
        <w:gridCol w:w="928"/>
        <w:gridCol w:w="1448"/>
      </w:tblGrid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3ـ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4ـ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264F38">
        <w:trPr>
          <w:trHeight w:val="1067"/>
        </w:trPr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5ـ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6ـ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264F38">
        <w:trPr>
          <w:trHeight w:val="526"/>
        </w:trPr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E53C66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E53C66">
              <w:rPr>
                <w:rFonts w:ascii="Calibri" w:eastAsia="Calibri" w:hAnsi="Calibri" w:hint="cs"/>
                <w:sz w:val="24"/>
                <w:szCs w:val="24"/>
                <w:rtl/>
                <w:lang w:bidi="ar-IQ"/>
              </w:rPr>
              <w:t>تلوث الهواء تأليف حامد طالب السعد و نادر عبدسلمان/ جامعة الصرة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E53C66" w:rsidRDefault="00873E51" w:rsidP="00E53C66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Recycling </w:t>
            </w:r>
            <w:r w:rsidR="00E53C66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Edition  Author </w:t>
            </w:r>
            <w:r w:rsidRPr="00873E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Viqi Wagner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, 2009</w:t>
            </w:r>
          </w:p>
          <w:p w:rsidR="00C65ABC" w:rsidRPr="00E53C66" w:rsidRDefault="00873E51" w:rsidP="00873E51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 Rubber Recycling,</w:t>
            </w:r>
            <w:r w:rsidRPr="00873E51">
              <w:rPr>
                <w:rFonts w:asciiTheme="majorBidi" w:hAnsiTheme="majorBidi" w:cstheme="majorBidi"/>
                <w:sz w:val="24"/>
                <w:szCs w:val="24"/>
              </w:rPr>
              <w:t>Sadhan K. De • Avraam I. Isayev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73E51">
              <w:rPr>
                <w:rFonts w:asciiTheme="majorBidi" w:hAnsiTheme="majorBidi" w:cstheme="majorBidi"/>
                <w:sz w:val="24"/>
                <w:szCs w:val="24"/>
              </w:rPr>
              <w:t>KlementinaKhait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2005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37067E" w:rsidRDefault="00F80574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Default="001C1CD7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Pr="00EE06F8" w:rsidRDefault="00264F38" w:rsidP="00264F38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264F38" w:rsidRPr="006C302B" w:rsidRDefault="00264F38" w:rsidP="0026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264F38" w:rsidRPr="00DB131F" w:rsidTr="00961B7F">
        <w:trPr>
          <w:trHeight w:val="794"/>
        </w:trPr>
        <w:tc>
          <w:tcPr>
            <w:tcW w:w="9720" w:type="dxa"/>
            <w:shd w:val="clear" w:color="auto" w:fill="A7BFDE"/>
          </w:tcPr>
          <w:p w:rsidR="00264F38" w:rsidRPr="00DB131F" w:rsidRDefault="00264F38" w:rsidP="00961B7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264F38" w:rsidRPr="004137E5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التقنات النباتية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E456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264F38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F2360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F236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  <w:bookmarkStart w:id="0" w:name="_GoBack"/>
            <w:bookmarkEnd w:id="0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F236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F2360B" w:rsidP="00F2360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264F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264F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264F38" w:rsidRPr="00FE2B72" w:rsidTr="00961B7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64F38" w:rsidRPr="00FE2B72" w:rsidTr="00961B7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264F38" w:rsidRPr="00FE2B72" w:rsidRDefault="00264F38" w:rsidP="00A0304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كيفية ادارة </w:t>
            </w:r>
            <w:r w:rsidR="00A030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ومعالجة الملوثات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لبيئ</w:t>
            </w:r>
            <w:r w:rsidR="00A030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ة لتقليل اثارها واضراها على المجتمع وطرق التحكم بها.</w:t>
            </w:r>
          </w:p>
        </w:tc>
      </w:tr>
    </w:tbl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264F38" w:rsidRPr="006C302B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264F38" w:rsidRPr="00FE2B72" w:rsidTr="00961B7F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264F38" w:rsidRPr="00FE2B72" w:rsidTr="00961B7F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264F38" w:rsidRPr="00FE2B72" w:rsidTr="00961B7F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1-التعرف على انواع الملوثات الصلبة</w:t>
                  </w:r>
                  <w:r w:rsidR="00A03045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والسائلة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2-التعرف على التأثيرات الصحية للملوثات.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4-التعرف على المصادر المسببة لها</w:t>
                  </w:r>
                </w:p>
                <w:p w:rsidR="00264F38" w:rsidRPr="00C271DC" w:rsidRDefault="00264F38" w:rsidP="00A03045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5-التعرف على طرق معالجة والتحكم بها من خلال معرفة </w:t>
                  </w:r>
                  <w:r w:rsidR="00A03045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نوع النبات او البكتريا القادرة على تحليلها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264F38" w:rsidRPr="00FE2B72" w:rsidTr="00961B7F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     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اكتساب مهارات العملية لتقليل الملوثات من خلال ادارتها  وكيفية التخلص منها.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التقليل من تلوث بالمواد الصلبة والنفايات</w:t>
                  </w:r>
                  <w:r w:rsidR="00A03045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بواسطة تطبيقات بسيطة ورخيصة الكلفة وامينة ليس لها تاثير على المجتمع او الاشخاص العاملين فيها وكذلك عند تطبيقها تعطي شكل جمالي للبيئة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264F38" w:rsidRPr="002B612A" w:rsidRDefault="00264F38" w:rsidP="00961B7F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264F38" w:rsidRPr="00FE2B72" w:rsidTr="00961B7F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264F38" w:rsidRPr="00FE2B72" w:rsidTr="00961B7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264F38" w:rsidRPr="001C7A31" w:rsidRDefault="00264F38" w:rsidP="00961B7F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264F38" w:rsidRPr="00FE2B72" w:rsidTr="00961B7F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264F38" w:rsidRPr="00FE2B72" w:rsidTr="00961B7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264F38" w:rsidRPr="00FE2B72" w:rsidTr="00961B7F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264F38" w:rsidRPr="00336680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الصحي للانسان والتأثير على الاحياء الاخرى.</w:t>
                  </w:r>
                </w:p>
              </w:tc>
            </w:tr>
            <w:tr w:rsidR="00264F38" w:rsidRPr="00FE2B72" w:rsidTr="00961B7F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264F38" w:rsidRPr="00FE2B72" w:rsidTr="00961B7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استخدام الاجهزة في قياس تراكيز ملوثات الهواء.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العرض التقديمي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264F38" w:rsidRPr="00FE2B72" w:rsidTr="00961B7F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264F38" w:rsidRPr="00FE2B72" w:rsidTr="00961B7F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اعادة تدوير بعض النفايات التي لها القابلية على اعادة استخدامها كالبلاستك والزجاج</w:t>
                  </w:r>
                </w:p>
              </w:tc>
            </w:tr>
            <w:tr w:rsidR="00264F38" w:rsidRPr="00FE2B72" w:rsidTr="00961B7F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64F38" w:rsidRPr="009E53B0" w:rsidRDefault="00264F38" w:rsidP="00961B7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64F38" w:rsidRPr="009E53B0" w:rsidRDefault="00264F38" w:rsidP="00961B7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</w:p>
        </w:tc>
      </w:tr>
    </w:tbl>
    <w:p w:rsidR="00264F38" w:rsidRPr="0020555A" w:rsidRDefault="00264F38" w:rsidP="00264F38">
      <w:pPr>
        <w:shd w:val="clear" w:color="auto" w:fill="FFFFFF"/>
        <w:rPr>
          <w:vanish/>
        </w:rPr>
      </w:pPr>
    </w:p>
    <w:p w:rsidR="00264F38" w:rsidRDefault="00264F38" w:rsidP="00264F38">
      <w:pPr>
        <w:shd w:val="clear" w:color="auto" w:fill="FFFFFF"/>
      </w:pPr>
    </w:p>
    <w:p w:rsidR="00264F38" w:rsidRPr="002B612A" w:rsidRDefault="00264F38" w:rsidP="00264F38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9464" w:type="dxa"/>
        <w:tblInd w:w="-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4"/>
        <w:gridCol w:w="1003"/>
        <w:gridCol w:w="1715"/>
        <w:gridCol w:w="2396"/>
        <w:gridCol w:w="928"/>
        <w:gridCol w:w="1448"/>
      </w:tblGrid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3ـ 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4ـ 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961B7F">
        <w:trPr>
          <w:trHeight w:val="1067"/>
        </w:trPr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5ـ 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6ـ 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961B7F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64F38" w:rsidRDefault="00264F38" w:rsidP="00264F38">
      <w:pPr>
        <w:shd w:val="clear" w:color="auto" w:fill="FFFFFF"/>
        <w:rPr>
          <w:rtl/>
        </w:rPr>
      </w:pPr>
    </w:p>
    <w:p w:rsidR="00264F38" w:rsidRDefault="00264F38" w:rsidP="00264F38">
      <w:pPr>
        <w:shd w:val="clear" w:color="auto" w:fill="FFFFFF"/>
        <w:rPr>
          <w:rtl/>
        </w:rPr>
      </w:pPr>
    </w:p>
    <w:p w:rsidR="00961B7F" w:rsidRDefault="00961B7F" w:rsidP="00264F38">
      <w:pPr>
        <w:shd w:val="clear" w:color="auto" w:fill="FFFFFF"/>
        <w:rPr>
          <w:rtl/>
        </w:rPr>
      </w:pPr>
    </w:p>
    <w:p w:rsidR="00961B7F" w:rsidRDefault="00961B7F" w:rsidP="00264F38">
      <w:pPr>
        <w:shd w:val="clear" w:color="auto" w:fill="FFFFFF"/>
        <w:rPr>
          <w:rtl/>
        </w:rPr>
      </w:pPr>
    </w:p>
    <w:p w:rsidR="00961B7F" w:rsidRDefault="00961B7F" w:rsidP="00264F38">
      <w:pPr>
        <w:shd w:val="clear" w:color="auto" w:fill="FFFFFF"/>
        <w:rPr>
          <w:rtl/>
        </w:rPr>
      </w:pPr>
    </w:p>
    <w:p w:rsidR="00264F38" w:rsidRPr="00807DE1" w:rsidRDefault="00264F38" w:rsidP="00264F38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264F38" w:rsidRPr="00FE2B72" w:rsidTr="00961B7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264F38" w:rsidRPr="00FE2B72" w:rsidTr="00961B7F">
        <w:trPr>
          <w:trHeight w:val="570"/>
        </w:trPr>
        <w:tc>
          <w:tcPr>
            <w:tcW w:w="4007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264F38" w:rsidRPr="00E53C66" w:rsidRDefault="00961B7F" w:rsidP="00961B7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  <w:lang w:bidi="ar-IQ"/>
              </w:rPr>
              <w:t>1-</w:t>
            </w:r>
            <w:r>
              <w:rPr>
                <w:rFonts w:ascii="Calibri" w:eastAsia="Calibri" w:hAnsi="Calibri"/>
                <w:sz w:val="24"/>
                <w:szCs w:val="24"/>
                <w:lang w:bidi="ar-IQ"/>
              </w:rPr>
              <w:t>phytoremediation transformation and control of contaminants ,</w:t>
            </w:r>
            <w:r w:rsidR="00351751" w:rsidRPr="00351751">
              <w:rPr>
                <w:rFonts w:ascii="Calibri" w:eastAsia="Calibri" w:hAnsi="Calibri"/>
                <w:sz w:val="24"/>
                <w:szCs w:val="24"/>
                <w:lang w:bidi="ar-IQ"/>
              </w:rPr>
              <w:t>Steven C. McCutcheon</w:t>
            </w:r>
            <w:r w:rsidR="00351751">
              <w:rPr>
                <w:rFonts w:ascii="Calibri" w:eastAsia="Calibri" w:hAnsi="Calibri"/>
                <w:sz w:val="24"/>
                <w:szCs w:val="24"/>
                <w:lang w:bidi="ar-IQ"/>
              </w:rPr>
              <w:t>,2009</w:t>
            </w:r>
          </w:p>
        </w:tc>
      </w:tr>
      <w:tr w:rsidR="00264F38" w:rsidRPr="00FE2B72" w:rsidTr="00961B7F">
        <w:trPr>
          <w:trHeight w:val="1005"/>
        </w:trPr>
        <w:tc>
          <w:tcPr>
            <w:tcW w:w="4007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264F38" w:rsidRPr="00E53C66" w:rsidRDefault="00264F38" w:rsidP="0035175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961B7F">
        <w:trPr>
          <w:trHeight w:val="1247"/>
        </w:trPr>
        <w:tc>
          <w:tcPr>
            <w:tcW w:w="4007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264F38" w:rsidRPr="0037067E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961B7F">
        <w:trPr>
          <w:trHeight w:val="1247"/>
        </w:trPr>
        <w:tc>
          <w:tcPr>
            <w:tcW w:w="4007" w:type="dxa"/>
            <w:shd w:val="clear" w:color="auto" w:fill="auto"/>
          </w:tcPr>
          <w:p w:rsidR="00264F38" w:rsidRPr="000A614C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64F38" w:rsidRDefault="00264F38" w:rsidP="00264F38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264F38" w:rsidRPr="00FE2B72" w:rsidTr="00961B7F">
        <w:trPr>
          <w:trHeight w:val="419"/>
        </w:trPr>
        <w:tc>
          <w:tcPr>
            <w:tcW w:w="972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64F38" w:rsidRPr="00FE2B72" w:rsidTr="00961B7F">
        <w:trPr>
          <w:trHeight w:val="1189"/>
        </w:trPr>
        <w:tc>
          <w:tcPr>
            <w:tcW w:w="972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التواصل في تطوير المنهج اعتمادا على الإصدارات الحديثة من الكتب والمراجع.</w:t>
            </w: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64F38" w:rsidRP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Pr="002A432E" w:rsidRDefault="00264F38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264F38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93" w:rsidRDefault="00DD3A93">
      <w:r>
        <w:separator/>
      </w:r>
    </w:p>
  </w:endnote>
  <w:endnote w:type="continuationSeparator" w:id="1">
    <w:p w:rsidR="00DD3A93" w:rsidRDefault="00DD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961B7F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961B7F" w:rsidRPr="007B671C" w:rsidRDefault="00961B7F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B7F" w:rsidRPr="00807DE1" w:rsidRDefault="00961B7F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BE58DF" w:rsidRPr="00BE58DF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BE58DF" w:rsidRPr="00BE58DF">
            <w:rPr>
              <w:rFonts w:cs="Arial"/>
            </w:rPr>
            <w:fldChar w:fldCharType="separate"/>
          </w:r>
          <w:r w:rsidR="00A11FFC" w:rsidRPr="00A11FFC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BE58DF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961B7F" w:rsidRPr="007B671C" w:rsidRDefault="00961B7F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961B7F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961B7F" w:rsidRPr="007B671C" w:rsidRDefault="00961B7F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961B7F" w:rsidRPr="007B671C" w:rsidRDefault="00961B7F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961B7F" w:rsidRPr="007B671C" w:rsidRDefault="00961B7F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961B7F" w:rsidRDefault="00961B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93" w:rsidRDefault="00DD3A93">
      <w:r>
        <w:separator/>
      </w:r>
    </w:p>
  </w:footnote>
  <w:footnote w:type="continuationSeparator" w:id="1">
    <w:p w:rsidR="00DD3A93" w:rsidRDefault="00DD3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3"/>
  </w:num>
  <w:num w:numId="15">
    <w:abstractNumId w:val="2"/>
  </w:num>
  <w:num w:numId="16">
    <w:abstractNumId w:val="27"/>
  </w:num>
  <w:num w:numId="17">
    <w:abstractNumId w:val="20"/>
  </w:num>
  <w:num w:numId="18">
    <w:abstractNumId w:val="41"/>
  </w:num>
  <w:num w:numId="19">
    <w:abstractNumId w:val="22"/>
  </w:num>
  <w:num w:numId="20">
    <w:abstractNumId w:val="4"/>
  </w:num>
  <w:num w:numId="21">
    <w:abstractNumId w:val="40"/>
  </w:num>
  <w:num w:numId="22">
    <w:abstractNumId w:val="24"/>
  </w:num>
  <w:num w:numId="23">
    <w:abstractNumId w:val="15"/>
  </w:num>
  <w:num w:numId="24">
    <w:abstractNumId w:val="37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1"/>
  </w:num>
  <w:num w:numId="32">
    <w:abstractNumId w:val="39"/>
  </w:num>
  <w:num w:numId="33">
    <w:abstractNumId w:val="3"/>
  </w:num>
  <w:num w:numId="34">
    <w:abstractNumId w:val="16"/>
  </w:num>
  <w:num w:numId="35">
    <w:abstractNumId w:val="6"/>
  </w:num>
  <w:num w:numId="36">
    <w:abstractNumId w:val="28"/>
  </w:num>
  <w:num w:numId="37">
    <w:abstractNumId w:val="11"/>
  </w:num>
  <w:num w:numId="38">
    <w:abstractNumId w:val="35"/>
  </w:num>
  <w:num w:numId="39">
    <w:abstractNumId w:val="44"/>
  </w:num>
  <w:num w:numId="40">
    <w:abstractNumId w:val="26"/>
  </w:num>
  <w:num w:numId="41">
    <w:abstractNumId w:val="8"/>
  </w:num>
  <w:num w:numId="42">
    <w:abstractNumId w:val="34"/>
  </w:num>
  <w:num w:numId="43">
    <w:abstractNumId w:val="14"/>
  </w:num>
  <w:num w:numId="44">
    <w:abstractNumId w:val="13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24A3C"/>
    <w:rsid w:val="00041A74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448E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7239D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4F38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1751"/>
    <w:rsid w:val="003555F3"/>
    <w:rsid w:val="00360870"/>
    <w:rsid w:val="00364FA1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61D7"/>
    <w:rsid w:val="0045325B"/>
    <w:rsid w:val="004662C5"/>
    <w:rsid w:val="0048407D"/>
    <w:rsid w:val="004A4634"/>
    <w:rsid w:val="004A6A6D"/>
    <w:rsid w:val="004B0E38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2D5B"/>
    <w:rsid w:val="0075633E"/>
    <w:rsid w:val="007645B4"/>
    <w:rsid w:val="007716A6"/>
    <w:rsid w:val="0078752C"/>
    <w:rsid w:val="0079031B"/>
    <w:rsid w:val="007966E1"/>
    <w:rsid w:val="007A5758"/>
    <w:rsid w:val="007A7C20"/>
    <w:rsid w:val="007B0B99"/>
    <w:rsid w:val="007B21F5"/>
    <w:rsid w:val="007B671C"/>
    <w:rsid w:val="007C406E"/>
    <w:rsid w:val="007F0A87"/>
    <w:rsid w:val="007F319C"/>
    <w:rsid w:val="0080477B"/>
    <w:rsid w:val="00807DE1"/>
    <w:rsid w:val="008467A5"/>
    <w:rsid w:val="00861C9F"/>
    <w:rsid w:val="00867A6A"/>
    <w:rsid w:val="00867FFC"/>
    <w:rsid w:val="00873B99"/>
    <w:rsid w:val="00873E51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46CE9"/>
    <w:rsid w:val="0095299B"/>
    <w:rsid w:val="00961B7F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25C2"/>
    <w:rsid w:val="009F5071"/>
    <w:rsid w:val="009F7BAF"/>
    <w:rsid w:val="00A0162F"/>
    <w:rsid w:val="00A03045"/>
    <w:rsid w:val="00A07775"/>
    <w:rsid w:val="00A11A57"/>
    <w:rsid w:val="00A11FFC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241"/>
    <w:rsid w:val="00AD1BD9"/>
    <w:rsid w:val="00AD37EA"/>
    <w:rsid w:val="00AD4058"/>
    <w:rsid w:val="00AD41B5"/>
    <w:rsid w:val="00AD73E3"/>
    <w:rsid w:val="00AF4AFA"/>
    <w:rsid w:val="00B04671"/>
    <w:rsid w:val="00B15F45"/>
    <w:rsid w:val="00B17E3D"/>
    <w:rsid w:val="00B32265"/>
    <w:rsid w:val="00B36757"/>
    <w:rsid w:val="00B412FE"/>
    <w:rsid w:val="00B5102D"/>
    <w:rsid w:val="00B521B7"/>
    <w:rsid w:val="00B727AD"/>
    <w:rsid w:val="00B84605"/>
    <w:rsid w:val="00BB671E"/>
    <w:rsid w:val="00BC76C0"/>
    <w:rsid w:val="00BE58DF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95E48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D3A93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65CFB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170F4"/>
    <w:rsid w:val="00F2360B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5613-0B57-440A-8057-21FBB161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1671</Words>
  <Characters>9528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20</cp:revision>
  <cp:lastPrinted>2018-03-19T07:34:00Z</cp:lastPrinted>
  <dcterms:created xsi:type="dcterms:W3CDTF">2017-01-25T05:23:00Z</dcterms:created>
  <dcterms:modified xsi:type="dcterms:W3CDTF">2018-03-19T07:34:00Z</dcterms:modified>
</cp:coreProperties>
</file>